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43" w:rsidRPr="00353250" w:rsidRDefault="00E10D43" w:rsidP="00155ED6">
      <w:pPr>
        <w:spacing w:after="0" w:line="240" w:lineRule="auto"/>
        <w:rPr>
          <w:rFonts w:cs="Calibri"/>
          <w:sz w:val="28"/>
          <w:szCs w:val="28"/>
        </w:rPr>
      </w:pPr>
      <w:r w:rsidRPr="00353250">
        <w:rPr>
          <w:rFonts w:cs="Calibri"/>
          <w:b/>
          <w:sz w:val="28"/>
          <w:szCs w:val="28"/>
        </w:rPr>
        <w:t>TEMATY PRAC INŻYNIERSKICH DO WYBORU W ROKU AKADEMICKIM 201</w:t>
      </w:r>
      <w:r>
        <w:rPr>
          <w:rFonts w:cs="Calibri"/>
          <w:b/>
          <w:sz w:val="28"/>
          <w:szCs w:val="28"/>
        </w:rPr>
        <w:t>9</w:t>
      </w:r>
      <w:r w:rsidRPr="00353250">
        <w:rPr>
          <w:rFonts w:cs="Calibri"/>
          <w:b/>
          <w:sz w:val="28"/>
          <w:szCs w:val="28"/>
        </w:rPr>
        <w:t>/20</w:t>
      </w:r>
      <w:r>
        <w:rPr>
          <w:rFonts w:cs="Calibri"/>
          <w:b/>
          <w:sz w:val="28"/>
          <w:szCs w:val="28"/>
        </w:rPr>
        <w:t>20</w:t>
      </w:r>
      <w:r w:rsidRPr="00353250">
        <w:rPr>
          <w:rFonts w:cs="Calibri"/>
          <w:b/>
          <w:sz w:val="28"/>
          <w:szCs w:val="28"/>
        </w:rPr>
        <w:t xml:space="preserve"> </w:t>
      </w:r>
      <w:r w:rsidRPr="00353250">
        <w:rPr>
          <w:rFonts w:cs="Calibri"/>
          <w:b/>
          <w:sz w:val="28"/>
          <w:szCs w:val="28"/>
        </w:rPr>
        <w:br/>
      </w:r>
    </w:p>
    <w:p w:rsidR="00E10D43" w:rsidRPr="00353250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353250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353250">
        <w:rPr>
          <w:rFonts w:cs="Calibri"/>
          <w:b/>
          <w:sz w:val="24"/>
          <w:szCs w:val="24"/>
        </w:rPr>
        <w:t>KATEDRA BIOTECHNOLOGII ROZRODU ZWIERZĄT I HIGIENY ŚRODOWISKA</w:t>
      </w:r>
    </w:p>
    <w:p w:rsidR="00E10D43" w:rsidRPr="00353250" w:rsidRDefault="00E10D43" w:rsidP="00155ED6">
      <w:pPr>
        <w:spacing w:after="0" w:line="240" w:lineRule="auto"/>
        <w:rPr>
          <w:rFonts w:cs="Calibri"/>
          <w:sz w:val="24"/>
          <w:szCs w:val="24"/>
        </w:rPr>
      </w:pPr>
    </w:p>
    <w:p w:rsidR="00E10D43" w:rsidRPr="00353250" w:rsidRDefault="00E10D43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Inseminacja i/lub transplantacja zarodków – metody i możliwości wykorzystania na przykładzie funkcjonowania zakładu unasieniania zwierząt lub innej jednostki organizacyjnej </w:t>
      </w:r>
    </w:p>
    <w:p w:rsidR="00E10D43" w:rsidRPr="00353250" w:rsidRDefault="00E10D43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Metody diagnostyczne w ocenie jakości oocytów i zarodka u ssaków</w:t>
      </w:r>
    </w:p>
    <w:p w:rsidR="00E10D43" w:rsidRPr="00353250" w:rsidRDefault="00E10D43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Możliwości regulacji procesów rozrodczych u suk z uwzględnieniem zaburzeń i schorzeń narządów płciowych na przykładzie wybranej lecznicy dla zwierząt</w:t>
      </w:r>
    </w:p>
    <w:p w:rsidR="00E10D43" w:rsidRPr="00353250" w:rsidRDefault="00E10D43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Techniki wspomaganego rozrodu u zwierząt i ludzi</w:t>
      </w:r>
    </w:p>
    <w:p w:rsidR="00E10D43" w:rsidRPr="00353250" w:rsidRDefault="00E10D43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Wykorzystanie testu mikrojądrowego w ocenie genotoksyczności wód z wybranych zbiorników wodnych</w:t>
      </w:r>
    </w:p>
    <w:p w:rsidR="00E10D43" w:rsidRPr="00353250" w:rsidRDefault="00E10D43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Zastosowanie wybranych metod w ocenie jakości nasienia ludzi i zwierząt</w:t>
      </w:r>
    </w:p>
    <w:p w:rsidR="00E10D43" w:rsidRPr="00353250" w:rsidRDefault="00E10D43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Zapłodnienie polispermiczne oocytów świni domowej w procedurze pozaustrojowej produkcji zarodków</w:t>
      </w:r>
    </w:p>
    <w:p w:rsidR="00E10D43" w:rsidRPr="00353250" w:rsidRDefault="00E10D43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Ocena zmian zachodzących w czasie ciąży u owiec na podstawie obrazowania ultrasonograficznego z uwzględnieniem rasy zwierząt</w:t>
      </w:r>
    </w:p>
    <w:p w:rsidR="00E10D43" w:rsidRPr="00353250" w:rsidRDefault="00E10D43" w:rsidP="00155ED6">
      <w:pPr>
        <w:spacing w:after="0" w:line="240" w:lineRule="auto"/>
        <w:rPr>
          <w:rFonts w:cs="Calibri"/>
          <w:sz w:val="24"/>
          <w:szCs w:val="24"/>
        </w:rPr>
      </w:pPr>
    </w:p>
    <w:p w:rsidR="00E10D43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353250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353250">
        <w:rPr>
          <w:rFonts w:cs="Calibri"/>
          <w:b/>
          <w:sz w:val="24"/>
          <w:szCs w:val="24"/>
        </w:rPr>
        <w:t>KATEDRA FIZJOLOGII, CYTOBIOLOGII I PROTEOMIKI</w:t>
      </w:r>
    </w:p>
    <w:p w:rsidR="00E10D43" w:rsidRPr="00353250" w:rsidRDefault="00E10D43" w:rsidP="00155ED6">
      <w:pPr>
        <w:spacing w:after="0" w:line="240" w:lineRule="auto"/>
        <w:rPr>
          <w:rFonts w:cs="Calibri"/>
          <w:sz w:val="24"/>
          <w:szCs w:val="24"/>
        </w:rPr>
      </w:pPr>
    </w:p>
    <w:p w:rsidR="00E10D43" w:rsidRPr="00353250" w:rsidRDefault="00E10D43" w:rsidP="00977F97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Akwaporyny zlokalizowane w gruczole mlekowym. Nowe możliwości w biotechnologii produkcji mleka</w:t>
      </w:r>
    </w:p>
    <w:p w:rsidR="00E10D43" w:rsidRPr="00353250" w:rsidRDefault="00E10D43" w:rsidP="00977F97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Aminy biogenne a fizjologia i patofizjologia jelita grubego</w:t>
      </w:r>
    </w:p>
    <w:p w:rsidR="00E10D43" w:rsidRPr="00353250" w:rsidRDefault="00E10D43" w:rsidP="00155ED6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Analiza składu białkowego erytrocytów</w:t>
      </w:r>
    </w:p>
    <w:p w:rsidR="00E10D43" w:rsidRPr="00353250" w:rsidRDefault="00E10D43" w:rsidP="00155ED6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Analiza składu białkowego serwatki mleka krów</w:t>
      </w:r>
    </w:p>
    <w:p w:rsidR="00E10D43" w:rsidRPr="00353250" w:rsidRDefault="00E10D43" w:rsidP="00977F97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Analiza widm masowych oraz retrospektywna analiza identyfikacji białek serca myszy</w:t>
      </w:r>
    </w:p>
    <w:p w:rsidR="00E10D43" w:rsidRPr="00353250" w:rsidRDefault="00E10D43" w:rsidP="00155ED6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Analiza wpływu usuwania białek wysokokopijnych z składu białkowego serca na efektywność rozdziałów elektroforetycznych</w:t>
      </w:r>
    </w:p>
    <w:p w:rsidR="00E10D43" w:rsidRPr="00353250" w:rsidRDefault="00E10D43" w:rsidP="00977F97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Białka błony szczelinowej jako markery zaburzeń czynnościowych nerek</w:t>
      </w:r>
    </w:p>
    <w:p w:rsidR="00E10D43" w:rsidRPr="00353250" w:rsidRDefault="00E10D43" w:rsidP="00977F97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Nowotwory jako struktury dysypatywne</w:t>
      </w:r>
    </w:p>
    <w:p w:rsidR="00E10D43" w:rsidRDefault="00E10D43" w:rsidP="00155ED6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Ocena wpływu podaży diety suplementowanej 3% inuliną z korzenia cykorii na koncentrację wybranych makro- i mikroelementów w wątrobie 50-dniowych prosiąt</w:t>
      </w:r>
    </w:p>
    <w:p w:rsidR="00E10D43" w:rsidRPr="00132B97" w:rsidRDefault="00E10D43" w:rsidP="00132B97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Ocena wpływu podaży diety suplementowanej 3% inuliną z korzenia cykorii na koncentrację wybranych </w:t>
      </w:r>
      <w:r>
        <w:t xml:space="preserve">wskaźników biochemicznych </w:t>
      </w:r>
      <w:r w:rsidRPr="00353250">
        <w:rPr>
          <w:rFonts w:cs="Calibri"/>
          <w:sz w:val="24"/>
          <w:szCs w:val="24"/>
        </w:rPr>
        <w:t>w wątrobie 50-dniowych prosiąt</w:t>
      </w:r>
    </w:p>
    <w:p w:rsidR="00E10D43" w:rsidRPr="002B3147" w:rsidRDefault="00E10D43" w:rsidP="00155ED6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B3147">
        <w:rPr>
          <w:rFonts w:cs="Calibri"/>
          <w:sz w:val="24"/>
          <w:szCs w:val="24"/>
        </w:rPr>
        <w:t xml:space="preserve">Ocena wpływu podaży diety suplementowanej 3% inuliną z korzenia cykorii na koncentrację wybranych </w:t>
      </w:r>
      <w:r w:rsidRPr="002B3147">
        <w:t>wskaźników biochemicznych</w:t>
      </w:r>
      <w:r w:rsidRPr="002B3147">
        <w:rPr>
          <w:rFonts w:cs="Calibri"/>
          <w:sz w:val="24"/>
          <w:szCs w:val="24"/>
        </w:rPr>
        <w:t xml:space="preserve"> w nerkach rosnących prosiąt </w:t>
      </w:r>
    </w:p>
    <w:p w:rsidR="00E10D43" w:rsidRPr="00353250" w:rsidRDefault="00E10D43" w:rsidP="00977F97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Podocyty jako aktywny element bariery filtracyjnej nerek – aspekt komórkowy i molekularny</w:t>
      </w:r>
    </w:p>
    <w:p w:rsidR="00E10D43" w:rsidRPr="002B3147" w:rsidRDefault="00E10D43" w:rsidP="002B3147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B3147">
        <w:rPr>
          <w:rFonts w:cs="Calibri"/>
          <w:sz w:val="24"/>
          <w:szCs w:val="24"/>
        </w:rPr>
        <w:t>Poszukiwanie alternatywnych protokołów detekcji białek na żelach po ich rozdziale elektroforetycznym</w:t>
      </w:r>
    </w:p>
    <w:p w:rsidR="00E10D43" w:rsidRDefault="00E10D43" w:rsidP="002B3147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Wpływ podaży diety suplementowanej 1% inuliną z korzenia cykorii na koncentrację wybranych makro- i mikroelementów w wątrobie rosnących świń</w:t>
      </w:r>
    </w:p>
    <w:p w:rsidR="00E10D43" w:rsidRPr="002B3147" w:rsidRDefault="00E10D43" w:rsidP="002B3147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B3147">
        <w:rPr>
          <w:rFonts w:cs="Calibri"/>
          <w:sz w:val="24"/>
          <w:szCs w:val="24"/>
        </w:rPr>
        <w:t>Wpływ podaży diety suplementowanej 1% inuliną z korzenia cykorii na koncentrację wybranych wskaźników biochemicznych w wątrobie rosnących świń.</w:t>
      </w:r>
    </w:p>
    <w:p w:rsidR="00E10D43" w:rsidRPr="002B3147" w:rsidRDefault="00E10D43" w:rsidP="002B3147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B3147">
        <w:rPr>
          <w:rFonts w:cs="Calibri"/>
          <w:sz w:val="24"/>
          <w:szCs w:val="24"/>
        </w:rPr>
        <w:t>Wpływ podaży diety suplementowanej 1% inuliną z korzenia cykorii na koncentrację wybranych wskaźników biochemicznych w nerkach 50-dniowych prosiąt.</w:t>
      </w:r>
    </w:p>
    <w:p w:rsidR="00E10D43" w:rsidRPr="00353250" w:rsidRDefault="00E10D43" w:rsidP="00977F97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Wpływ zastosowania CleanUp Kit na obraz żeli 2-DE mleka klaczy</w:t>
      </w:r>
    </w:p>
    <w:p w:rsidR="00E10D43" w:rsidRPr="00353250" w:rsidRDefault="00E10D43" w:rsidP="00977F97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Wpływ zastosowania CleanUp Kit na obraz żeli 2-DE siary klaczy</w:t>
      </w:r>
    </w:p>
    <w:p w:rsidR="00E10D43" w:rsidRPr="00353250" w:rsidRDefault="00E10D43" w:rsidP="00155ED6">
      <w:pPr>
        <w:pStyle w:val="ListParagraph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Wpływ zmniejszenia ilości białek wielocząsteczkowych na proteom mleka klaczy</w:t>
      </w:r>
    </w:p>
    <w:p w:rsidR="00E10D43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353250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KATEDRA GENETYKI</w:t>
      </w:r>
    </w:p>
    <w:p w:rsidR="00E10D43" w:rsidRPr="00353250" w:rsidRDefault="00E10D43" w:rsidP="00155ED6">
      <w:pPr>
        <w:spacing w:after="0" w:line="240" w:lineRule="auto"/>
        <w:rPr>
          <w:rFonts w:cs="Calibri"/>
          <w:sz w:val="24"/>
          <w:szCs w:val="24"/>
        </w:rPr>
      </w:pPr>
    </w:p>
    <w:p w:rsidR="00E10D43" w:rsidRDefault="00E10D43" w:rsidP="00155ED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>
        <w:rPr>
          <w:color w:val="000000"/>
          <w:sz w:val="27"/>
          <w:szCs w:val="27"/>
        </w:rPr>
        <w:t>Cyjanobakterie w biotechnologii</w:t>
      </w:r>
    </w:p>
    <w:p w:rsidR="00E10D43" w:rsidRPr="00353250" w:rsidRDefault="00E10D43" w:rsidP="00155ED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Genetyczne mechanizmy odporności</w:t>
      </w:r>
    </w:p>
    <w:p w:rsidR="00E10D43" w:rsidRPr="00353250" w:rsidRDefault="00E10D43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Genetyczne podłoże schorzeń warunkowanych poligenicznie</w:t>
      </w:r>
    </w:p>
    <w:p w:rsidR="00E10D43" w:rsidRPr="00353250" w:rsidRDefault="00E10D43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Metaanaliza wybranej choroby uwarunkowanej genetycznie</w:t>
      </w:r>
    </w:p>
    <w:p w:rsidR="00E10D43" w:rsidRDefault="00E10D43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rFonts w:cs="Calibri"/>
          <w:sz w:val="24"/>
          <w:szCs w:val="24"/>
        </w:rPr>
        <w:t>Metody detekcji polimorfizmu DNA</w:t>
      </w:r>
    </w:p>
    <w:p w:rsidR="00E10D43" w:rsidRPr="00132B97" w:rsidRDefault="00E10D43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sz w:val="24"/>
          <w:szCs w:val="24"/>
        </w:rPr>
        <w:t>Molekularne metody analizy zafałszowań żywności</w:t>
      </w:r>
    </w:p>
    <w:p w:rsidR="00E10D43" w:rsidRPr="00132B97" w:rsidRDefault="00E10D43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rFonts w:cs="Calibri"/>
          <w:sz w:val="24"/>
          <w:szCs w:val="24"/>
        </w:rPr>
        <w:t xml:space="preserve">Opracowanie wytycznych tetra-primer ARMS-PCR do analizy polimorfizmu w wybranym genie </w:t>
      </w:r>
    </w:p>
    <w:p w:rsidR="00E10D43" w:rsidRPr="00132B97" w:rsidRDefault="00E10D43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rFonts w:cs="Calibri"/>
          <w:sz w:val="24"/>
          <w:szCs w:val="24"/>
        </w:rPr>
        <w:t>Porównanie czułości różnych testów molekularnych</w:t>
      </w:r>
    </w:p>
    <w:p w:rsidR="00E10D43" w:rsidRPr="00132B97" w:rsidRDefault="00E10D43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sz w:val="24"/>
          <w:szCs w:val="24"/>
        </w:rPr>
        <w:t>Porównanie metod detekcji polimorfizmu</w:t>
      </w:r>
    </w:p>
    <w:p w:rsidR="00E10D43" w:rsidRPr="00132B97" w:rsidRDefault="00E10D43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rFonts w:cs="Calibri"/>
          <w:sz w:val="24"/>
          <w:szCs w:val="24"/>
        </w:rPr>
        <w:t>Poszukiwanie polimorfizmów genów wpływających na cechy użytkowe zwierząt</w:t>
      </w:r>
    </w:p>
    <w:p w:rsidR="00E10D43" w:rsidRPr="00132B97" w:rsidRDefault="00E10D43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rFonts w:cs="Calibri"/>
          <w:sz w:val="24"/>
          <w:szCs w:val="24"/>
        </w:rPr>
        <w:t>Projektowanie testu molekularnego do identyfikacji mutacji punktowych</w:t>
      </w:r>
    </w:p>
    <w:p w:rsidR="00E10D43" w:rsidRDefault="00E10D43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rFonts w:cs="Calibri"/>
          <w:sz w:val="24"/>
          <w:szCs w:val="24"/>
        </w:rPr>
        <w:t>Projektowanie testu molekularnego pozwalającego na identyfikację choroby uwarunkowanej genetycznie</w:t>
      </w:r>
    </w:p>
    <w:p w:rsidR="00E10D43" w:rsidRPr="00AA25E1" w:rsidRDefault="00E10D43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sz w:val="24"/>
          <w:szCs w:val="24"/>
        </w:rPr>
        <w:t>Projektowanie testu opartego na PCR do analizy wybranego polimorfizmu</w:t>
      </w:r>
    </w:p>
    <w:p w:rsidR="00E10D43" w:rsidRPr="00132B97" w:rsidRDefault="00E10D43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>
        <w:rPr>
          <w:sz w:val="24"/>
          <w:szCs w:val="24"/>
        </w:rPr>
        <w:t>Wykorzystanie techniki qPCR-HRM w wykrywaniu polimorfizmu typu SNP</w:t>
      </w:r>
    </w:p>
    <w:p w:rsidR="00E10D43" w:rsidRPr="00132B97" w:rsidRDefault="00E10D43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rFonts w:cs="Calibri"/>
          <w:sz w:val="24"/>
          <w:szCs w:val="24"/>
        </w:rPr>
        <w:t>Wykorzystanie testów DNA w analizie żywności</w:t>
      </w:r>
    </w:p>
    <w:p w:rsidR="00E10D43" w:rsidRPr="00353250" w:rsidRDefault="00E10D43" w:rsidP="00155ED6">
      <w:pPr>
        <w:spacing w:after="0" w:line="240" w:lineRule="auto"/>
        <w:rPr>
          <w:rFonts w:cs="Calibri"/>
          <w:sz w:val="24"/>
          <w:szCs w:val="24"/>
        </w:rPr>
      </w:pPr>
    </w:p>
    <w:p w:rsidR="00E10D43" w:rsidRDefault="00E10D43" w:rsidP="000E2447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Default="00E10D43" w:rsidP="000E2447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353250" w:rsidRDefault="00E10D43" w:rsidP="000E2447">
      <w:pPr>
        <w:spacing w:after="0" w:line="240" w:lineRule="auto"/>
        <w:rPr>
          <w:rFonts w:cs="Calibri"/>
          <w:b/>
          <w:sz w:val="24"/>
          <w:szCs w:val="24"/>
        </w:rPr>
      </w:pPr>
      <w:r w:rsidRPr="00353250">
        <w:rPr>
          <w:rFonts w:cs="Calibri"/>
          <w:b/>
          <w:sz w:val="24"/>
          <w:szCs w:val="24"/>
        </w:rPr>
        <w:t xml:space="preserve">KATEDRA </w:t>
      </w:r>
      <w:r>
        <w:rPr>
          <w:rFonts w:cs="Calibri"/>
          <w:b/>
          <w:sz w:val="24"/>
          <w:szCs w:val="24"/>
        </w:rPr>
        <w:t>MIKROBIOLOGII</w:t>
      </w:r>
      <w:r w:rsidRPr="000E244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I BIOTECHNOLOGII</w:t>
      </w:r>
    </w:p>
    <w:p w:rsidR="00E10D43" w:rsidRPr="00353250" w:rsidRDefault="00E10D43" w:rsidP="000E2447">
      <w:pPr>
        <w:spacing w:after="0" w:line="240" w:lineRule="auto"/>
        <w:rPr>
          <w:rFonts w:cs="Calibri"/>
          <w:sz w:val="24"/>
          <w:szCs w:val="24"/>
        </w:rPr>
      </w:pPr>
    </w:p>
    <w:p w:rsidR="00E10D43" w:rsidRPr="00353250" w:rsidRDefault="00E10D43" w:rsidP="000E244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Analiza właściwości antagonistycznych szczepów </w:t>
      </w:r>
      <w:r w:rsidRPr="00353250">
        <w:rPr>
          <w:rFonts w:cs="Calibri"/>
          <w:i/>
          <w:sz w:val="24"/>
          <w:szCs w:val="24"/>
        </w:rPr>
        <w:t xml:space="preserve">Lactobacillus </w:t>
      </w:r>
      <w:r w:rsidRPr="00353250">
        <w:rPr>
          <w:rFonts w:cs="Calibri"/>
          <w:sz w:val="24"/>
          <w:szCs w:val="24"/>
        </w:rPr>
        <w:t>spp. wyizolowanych z żywności wobec wybranych patogenów</w:t>
      </w:r>
    </w:p>
    <w:p w:rsidR="00E10D43" w:rsidRPr="00E41E3B" w:rsidRDefault="00E10D43" w:rsidP="000E244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>Charakterystyka i ocena potencjału aplikacyjnego mikroorganizmów środowiskowych</w:t>
      </w:r>
    </w:p>
    <w:p w:rsidR="00E10D43" w:rsidRPr="002E5339" w:rsidRDefault="00E10D43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E5339">
        <w:rPr>
          <w:rFonts w:cs="Calibri"/>
          <w:sz w:val="24"/>
          <w:szCs w:val="24"/>
        </w:rPr>
        <w:t>Drobnoustroje w produkcji enzymów proteolitycznych dla przemysłu spożywczego</w:t>
      </w:r>
    </w:p>
    <w:p w:rsidR="00E10D43" w:rsidRPr="00353250" w:rsidRDefault="00E10D43" w:rsidP="000E244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  <w:lang w:eastAsia="pl-PL"/>
        </w:rPr>
        <w:t xml:space="preserve">Metody wykrywania biofilmu wytwarzanego przez szczepy </w:t>
      </w:r>
      <w:r w:rsidRPr="00353250">
        <w:rPr>
          <w:rFonts w:cs="Calibri"/>
          <w:i/>
          <w:iCs/>
          <w:sz w:val="24"/>
          <w:szCs w:val="24"/>
          <w:lang w:eastAsia="pl-PL"/>
        </w:rPr>
        <w:t xml:space="preserve">S. pseudintermedius </w:t>
      </w:r>
      <w:r w:rsidRPr="00353250">
        <w:rPr>
          <w:rFonts w:cs="Calibri"/>
          <w:iCs/>
          <w:sz w:val="24"/>
          <w:szCs w:val="24"/>
          <w:lang w:eastAsia="pl-PL"/>
        </w:rPr>
        <w:t>wyizolowane od psów</w:t>
      </w:r>
      <w:r w:rsidRPr="00353250">
        <w:rPr>
          <w:rFonts w:cs="Calibri"/>
          <w:sz w:val="24"/>
          <w:szCs w:val="24"/>
        </w:rPr>
        <w:t xml:space="preserve"> </w:t>
      </w:r>
    </w:p>
    <w:p w:rsidR="00E10D43" w:rsidRPr="00353250" w:rsidRDefault="00E10D43" w:rsidP="000E244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Metody wykrywania i usuwania biofilmów bakteryjnych</w:t>
      </w:r>
    </w:p>
    <w:p w:rsidR="00E10D43" w:rsidRDefault="00E10D43" w:rsidP="000E244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A577AF">
        <w:rPr>
          <w:rFonts w:cs="Calibri"/>
          <w:sz w:val="24"/>
          <w:szCs w:val="24"/>
        </w:rPr>
        <w:t>Ocena mikrobiologiczna karm dla zwierząt</w:t>
      </w:r>
    </w:p>
    <w:p w:rsidR="00E10D43" w:rsidRPr="00353250" w:rsidRDefault="00E10D43" w:rsidP="000E244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Optymalizacja metod badania biofilmów bakteryjnych</w:t>
      </w:r>
    </w:p>
    <w:p w:rsidR="00E10D43" w:rsidRDefault="00E10D43" w:rsidP="000E244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Optymalizacja metod usuwania biofilmów bakteryjnych</w:t>
      </w:r>
    </w:p>
    <w:p w:rsidR="00E10D43" w:rsidRPr="00E41E3B" w:rsidRDefault="00E10D43" w:rsidP="000E244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>Przeszczepianie mikrobioty jelitowej – znaczenie, zakres i zasięg stosowania, perspektywy wykorzystania</w:t>
      </w:r>
    </w:p>
    <w:p w:rsidR="00E10D43" w:rsidRPr="00E41E3B" w:rsidRDefault="00E10D43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>Rola substancji biologicznie czynnych występujących w surowcach roślinach w utrwalaniu żywności</w:t>
      </w:r>
    </w:p>
    <w:p w:rsidR="00E10D43" w:rsidRPr="00E41E3B" w:rsidRDefault="00E10D43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>Stemowe komórki nowotworowe jako cel terapii antynowotworowej</w:t>
      </w:r>
    </w:p>
    <w:p w:rsidR="00E10D43" w:rsidRPr="00E41E3B" w:rsidRDefault="00E10D43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>Wpływ suplementacji ziołowo-probiotycznej na jakość tuszek i mięsa indyków</w:t>
      </w:r>
    </w:p>
    <w:p w:rsidR="00E10D43" w:rsidRPr="00E41E3B" w:rsidRDefault="00E10D43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>Wpływ suplementacji ziołowo-probiotycznej na właściwości prozdrowotne mięsa wieprzowego</w:t>
      </w:r>
    </w:p>
    <w:p w:rsidR="00E10D43" w:rsidRPr="00E41E3B" w:rsidRDefault="00E10D43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 xml:space="preserve">Wykorzystanie drobnoustrojów w technologii produktów mięsnych </w:t>
      </w:r>
    </w:p>
    <w:p w:rsidR="00E10D43" w:rsidRPr="00E41E3B" w:rsidRDefault="00E10D43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>Wykorzystanie grzybów strzępkowych w przemyśle spożywczym</w:t>
      </w:r>
    </w:p>
    <w:p w:rsidR="00E10D43" w:rsidRPr="00E41E3B" w:rsidRDefault="00E10D43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>Wykorzystanie mikroorganizmów probiotycznych w produkcji mlecznych napojów fermentowanych</w:t>
      </w:r>
    </w:p>
    <w:p w:rsidR="00E10D43" w:rsidRPr="00E41E3B" w:rsidRDefault="00E10D43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 xml:space="preserve">Wykorzystanie wybranych grup enzymów w przemyśle spożywczym </w:t>
      </w:r>
    </w:p>
    <w:p w:rsidR="00E10D43" w:rsidRPr="00E41E3B" w:rsidRDefault="00E10D43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sz w:val="24"/>
          <w:szCs w:val="24"/>
        </w:rPr>
        <w:t>Żywność wygodna – nowy sposób przetwarzania i przechowywania żywności</w:t>
      </w:r>
    </w:p>
    <w:p w:rsidR="00E10D43" w:rsidRPr="00353250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353250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353250">
        <w:rPr>
          <w:rFonts w:cs="Calibri"/>
          <w:b/>
          <w:sz w:val="24"/>
          <w:szCs w:val="24"/>
        </w:rPr>
        <w:t xml:space="preserve">KATEDRA </w:t>
      </w:r>
      <w:r>
        <w:rPr>
          <w:rFonts w:cs="Calibri"/>
          <w:b/>
          <w:sz w:val="24"/>
          <w:szCs w:val="24"/>
        </w:rPr>
        <w:t>NAUK O ZWIERZĘTACH MONOGASTRYCZNYCH</w:t>
      </w:r>
    </w:p>
    <w:p w:rsidR="00E10D43" w:rsidRPr="00353250" w:rsidRDefault="00E10D43" w:rsidP="00155ED6">
      <w:pPr>
        <w:spacing w:after="0" w:line="240" w:lineRule="auto"/>
        <w:rPr>
          <w:rFonts w:cs="Calibri"/>
          <w:sz w:val="24"/>
          <w:szCs w:val="24"/>
        </w:rPr>
      </w:pPr>
    </w:p>
    <w:p w:rsidR="00E10D43" w:rsidRPr="00353250" w:rsidRDefault="00E10D43" w:rsidP="00155ED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Aktywność antyoksydacyjna ziela amarantusa</w:t>
      </w:r>
    </w:p>
    <w:p w:rsidR="00E10D43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Analiza efektywności oczyszczania ścieków z wykorzystaniem roślin</w:t>
      </w:r>
    </w:p>
    <w:p w:rsidR="00E10D43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E5339">
        <w:rPr>
          <w:rFonts w:cs="Calibri"/>
          <w:sz w:val="24"/>
          <w:szCs w:val="24"/>
        </w:rPr>
        <w:t>Analiza embriogenezy zarodków kury domowej (</w:t>
      </w:r>
      <w:r w:rsidRPr="002E5339">
        <w:rPr>
          <w:rFonts w:cs="Calibri"/>
          <w:i/>
          <w:sz w:val="24"/>
          <w:szCs w:val="24"/>
        </w:rPr>
        <w:t>Gallus domestica</w:t>
      </w:r>
      <w:r w:rsidRPr="002E5339">
        <w:rPr>
          <w:rFonts w:cs="Calibri"/>
          <w:sz w:val="24"/>
          <w:szCs w:val="24"/>
        </w:rPr>
        <w:t xml:space="preserve">) hodowanych </w:t>
      </w:r>
      <w:r w:rsidRPr="002E5339">
        <w:rPr>
          <w:rFonts w:cs="Calibri"/>
          <w:i/>
          <w:sz w:val="24"/>
          <w:szCs w:val="24"/>
        </w:rPr>
        <w:t>in vitro</w:t>
      </w:r>
    </w:p>
    <w:p w:rsidR="00E10D43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E5339">
        <w:rPr>
          <w:rFonts w:cs="Calibri"/>
          <w:sz w:val="24"/>
          <w:szCs w:val="24"/>
        </w:rPr>
        <w:t>Analiza embriogenezy zarodków przepiórki japońskiej (</w:t>
      </w:r>
      <w:r w:rsidRPr="002E5339">
        <w:rPr>
          <w:rFonts w:cs="Calibri"/>
          <w:i/>
          <w:sz w:val="24"/>
          <w:szCs w:val="24"/>
        </w:rPr>
        <w:t>Coturnix coturnix japonica)</w:t>
      </w:r>
      <w:r w:rsidRPr="002E5339">
        <w:rPr>
          <w:rFonts w:cs="Calibri"/>
          <w:sz w:val="24"/>
          <w:szCs w:val="24"/>
        </w:rPr>
        <w:t xml:space="preserve"> hodowanych </w:t>
      </w:r>
      <w:r w:rsidRPr="002E5339">
        <w:rPr>
          <w:rFonts w:cs="Calibri"/>
          <w:i/>
          <w:sz w:val="24"/>
          <w:szCs w:val="24"/>
        </w:rPr>
        <w:t>in vitro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 xml:space="preserve">Analiza rozwoju i przeżywalności zarodków wybranych gatunków drobiu hodowanych </w:t>
      </w:r>
      <w:r w:rsidRPr="00E41E3B">
        <w:rPr>
          <w:rFonts w:cs="Calibri"/>
          <w:i/>
          <w:sz w:val="24"/>
          <w:szCs w:val="24"/>
        </w:rPr>
        <w:t>in vitro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Biotechnologie stosowane w oczyszczalniach ścieków na przykładzie wybranej oczyszczalni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Błonnik pokarmowy – znaczenie żywieniowe i technologiczne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Genetyczne podłoże zdrowotności u świń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 xml:space="preserve">Genomika strukturalna i funkcjonalna – rozwój i kierunek badań na przykładzie gatunku </w:t>
      </w:r>
      <w:r w:rsidRPr="00E708C2">
        <w:rPr>
          <w:rFonts w:cs="Calibri"/>
          <w:i/>
          <w:sz w:val="24"/>
          <w:szCs w:val="24"/>
        </w:rPr>
        <w:t>Sus scrofa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Gryka (kiełki, orzeszki, liście) - jako źródło wartościowych składników odżywczych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 xml:space="preserve">Markery genetyczne dla cech użytkowości tucznej rzeźnej i rozrodczej gatunku </w:t>
      </w:r>
      <w:r w:rsidRPr="00E708C2">
        <w:rPr>
          <w:rFonts w:cs="Calibri"/>
          <w:i/>
          <w:sz w:val="24"/>
          <w:szCs w:val="24"/>
        </w:rPr>
        <w:t>Sus scrofa</w:t>
      </w:r>
      <w:r w:rsidRPr="00E708C2">
        <w:rPr>
          <w:rFonts w:cs="Calibri"/>
          <w:sz w:val="24"/>
          <w:szCs w:val="24"/>
        </w:rPr>
        <w:t xml:space="preserve"> w świetle najnowszych badań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Modyfikacja składu i jakości mięsa wieprzowego poprzez dodatki mineralno-witaminowe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Modyfikacja składu i jakości mięsa wieprzowego poprzez dodatki ziołowe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Nowatorskie metody biotechnologiczne produkcji nośników energii w Polsce i na świecie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Oszacowanie wartości odżywczych ziela wybranych roślin jagodowych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Polimorfizm genów a poziom doskonalenia cech użytkowych świń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 xml:space="preserve">Postępy genomiki zwierząt hodowlanych na przykładzie gatunku </w:t>
      </w:r>
      <w:r w:rsidRPr="00E708C2">
        <w:rPr>
          <w:rFonts w:cs="Calibri"/>
          <w:i/>
          <w:sz w:val="24"/>
          <w:szCs w:val="24"/>
        </w:rPr>
        <w:t>Sus scrofa</w:t>
      </w:r>
    </w:p>
    <w:p w:rsidR="00E10D43" w:rsidRPr="00E708C2" w:rsidRDefault="00E10D43" w:rsidP="006E2FC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Technologie biologicznej obróbki osadów ściekowych w aspekcie ich zagospodarowania przyrodniczego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Właściwości przeciwutleniające liści mniszka lekarskiego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 xml:space="preserve">Wpływ temperatury inkubacji na przeżywalność  zarodków wybranych gatunków drobiu hodowanych </w:t>
      </w:r>
      <w:r w:rsidRPr="00E708C2">
        <w:rPr>
          <w:rFonts w:cs="Calibri"/>
          <w:i/>
          <w:sz w:val="24"/>
          <w:szCs w:val="24"/>
        </w:rPr>
        <w:t>in vitro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Wykorzystanie biotechnologii w chowie i hodowli trzody chlewnej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Wykorzystanie roślin o nasionach bezglutenowych do celów spożywczych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Wykorzystanie transgenicznych świń w medycynie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Wykorzystanie zwierząt laboratoryjnych w badaniach biomedycznych i rolniczych</w:t>
      </w:r>
    </w:p>
    <w:p w:rsidR="00E10D43" w:rsidRPr="00E708C2" w:rsidRDefault="00E10D43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Wpływ biostymulatorów na wartość odżywczą kiełków gryki</w:t>
      </w: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ind w:left="426" w:hanging="426"/>
        <w:rPr>
          <w:rFonts w:cs="Calibri"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ind w:left="426" w:hanging="426"/>
        <w:rPr>
          <w:rFonts w:cs="Calibri"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E708C2">
        <w:rPr>
          <w:rFonts w:cs="Calibri"/>
          <w:b/>
          <w:sz w:val="24"/>
          <w:szCs w:val="24"/>
        </w:rPr>
        <w:t>KATEDRA NAUK O ZWIERZĘTACH PRZEŻUWAJĄCYCH</w:t>
      </w:r>
    </w:p>
    <w:p w:rsidR="00E10D43" w:rsidRPr="00E708C2" w:rsidRDefault="00E10D43" w:rsidP="00155ED6">
      <w:pPr>
        <w:spacing w:after="0" w:line="240" w:lineRule="auto"/>
        <w:rPr>
          <w:rFonts w:cs="Calibri"/>
          <w:sz w:val="24"/>
          <w:szCs w:val="24"/>
        </w:rPr>
      </w:pPr>
    </w:p>
    <w:p w:rsidR="00E10D43" w:rsidRPr="00E708C2" w:rsidRDefault="00E10D43" w:rsidP="0018319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Analiza krzywej topnienia (MCA) w wykrywaniu polimorfizmu ins/del</w:t>
      </w:r>
    </w:p>
    <w:p w:rsidR="00E10D43" w:rsidRPr="00E708C2" w:rsidRDefault="00E10D43" w:rsidP="0018319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Determinacja płci u ssaków – analiza ekspresji wybranych genów</w:t>
      </w:r>
    </w:p>
    <w:p w:rsidR="00E10D43" w:rsidRPr="00E708C2" w:rsidRDefault="00E10D43" w:rsidP="0018319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Diagnostyka genetyczna schorzeń okulistycznych u psów</w:t>
      </w:r>
    </w:p>
    <w:p w:rsidR="00E10D43" w:rsidRPr="00E708C2" w:rsidRDefault="00E10D43" w:rsidP="0018319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Diagnostyka genetyczna schorzeń ortopedycznych u psów</w:t>
      </w:r>
    </w:p>
    <w:p w:rsidR="00E10D43" w:rsidRPr="00E708C2" w:rsidRDefault="00E10D43" w:rsidP="00155ED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Diagnostyka genetyczna xyz u psów</w:t>
      </w:r>
    </w:p>
    <w:p w:rsidR="00E10D43" w:rsidRPr="00E708C2" w:rsidRDefault="00E10D43" w:rsidP="00155ED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Diagnostyka polimorfizmu insdel z wykorzystaniem techniki qPCR</w:t>
      </w: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rPr>
          <w:rFonts w:cs="Calibri"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E708C2">
        <w:rPr>
          <w:rFonts w:cs="Calibri"/>
          <w:b/>
          <w:sz w:val="24"/>
          <w:szCs w:val="24"/>
        </w:rPr>
        <w:t>KATEDRA BIOINŻYNIERII – PRACOWNIA FIZJOLOGII ROŚLIN I ENTOMOLOGII</w:t>
      </w:r>
    </w:p>
    <w:p w:rsidR="00E10D43" w:rsidRPr="00E708C2" w:rsidRDefault="00E10D43" w:rsidP="00155ED6">
      <w:pPr>
        <w:spacing w:after="0" w:line="240" w:lineRule="auto"/>
        <w:rPr>
          <w:rFonts w:cs="Calibri"/>
          <w:sz w:val="24"/>
          <w:szCs w:val="24"/>
        </w:rPr>
      </w:pPr>
    </w:p>
    <w:p w:rsidR="00E10D43" w:rsidRPr="00E708C2" w:rsidRDefault="00E10D43" w:rsidP="00155ED6">
      <w:pPr>
        <w:numPr>
          <w:ilvl w:val="0"/>
          <w:numId w:val="12"/>
        </w:numPr>
        <w:tabs>
          <w:tab w:val="clear" w:pos="1065"/>
          <w:tab w:val="num" w:pos="-6120"/>
        </w:tabs>
        <w:spacing w:after="0" w:line="240" w:lineRule="auto"/>
        <w:ind w:left="434" w:hanging="434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 xml:space="preserve">Reakcja fizjologiczna wierzby wiciowej odmiany Tora rosnącej w hydroponice z dodatkiem żelaza i kwasu askorbinowego </w:t>
      </w:r>
    </w:p>
    <w:p w:rsidR="00E10D43" w:rsidRPr="00EE589D" w:rsidRDefault="00E10D43" w:rsidP="00155ED6">
      <w:pPr>
        <w:numPr>
          <w:ilvl w:val="0"/>
          <w:numId w:val="12"/>
        </w:numPr>
        <w:tabs>
          <w:tab w:val="clear" w:pos="1065"/>
          <w:tab w:val="num" w:pos="-6120"/>
        </w:tabs>
        <w:spacing w:after="0" w:line="240" w:lineRule="auto"/>
        <w:ind w:left="434" w:hanging="434"/>
        <w:rPr>
          <w:rFonts w:cs="Calibri"/>
          <w:sz w:val="24"/>
          <w:szCs w:val="24"/>
        </w:rPr>
      </w:pPr>
      <w:r w:rsidRPr="00E708C2">
        <w:rPr>
          <w:sz w:val="24"/>
          <w:szCs w:val="24"/>
        </w:rPr>
        <w:t>Wpływ inokulacji bakteriami ryzosfery na aktywność wymiany gazowej truskawki (</w:t>
      </w:r>
      <w:r w:rsidRPr="00E708C2">
        <w:rPr>
          <w:i/>
          <w:iCs/>
          <w:sz w:val="24"/>
          <w:szCs w:val="24"/>
        </w:rPr>
        <w:t>Fragaria ananassa</w:t>
      </w:r>
      <w:r w:rsidRPr="00E708C2">
        <w:rPr>
          <w:sz w:val="24"/>
          <w:szCs w:val="24"/>
        </w:rPr>
        <w:t xml:space="preserve"> Duch.) w warunkach stresu niedoboru wody</w:t>
      </w:r>
    </w:p>
    <w:p w:rsidR="00E10D43" w:rsidRPr="00E708C2" w:rsidRDefault="00E10D43" w:rsidP="00155ED6">
      <w:pPr>
        <w:numPr>
          <w:ilvl w:val="0"/>
          <w:numId w:val="12"/>
        </w:numPr>
        <w:tabs>
          <w:tab w:val="clear" w:pos="1065"/>
          <w:tab w:val="num" w:pos="-6120"/>
        </w:tabs>
        <w:spacing w:after="0" w:line="240" w:lineRule="auto"/>
        <w:ind w:left="434" w:hanging="434"/>
        <w:rPr>
          <w:rFonts w:cs="Calibri"/>
          <w:sz w:val="24"/>
          <w:szCs w:val="24"/>
        </w:rPr>
      </w:pPr>
      <w:r w:rsidRPr="00EE589D">
        <w:rPr>
          <w:rFonts w:cs="Calibri"/>
          <w:sz w:val="24"/>
          <w:szCs w:val="24"/>
        </w:rPr>
        <w:t>Wpływ kwasu askorbinowego na aktywność wymiany gazowej klonu Jorr wierzby wiciowej (</w:t>
      </w:r>
      <w:r w:rsidRPr="00EE589D">
        <w:rPr>
          <w:rFonts w:cs="Calibri"/>
          <w:i/>
          <w:sz w:val="24"/>
          <w:szCs w:val="24"/>
        </w:rPr>
        <w:t>Salix viminalis</w:t>
      </w:r>
      <w:r w:rsidRPr="00EE589D">
        <w:rPr>
          <w:rFonts w:cs="Calibri"/>
          <w:sz w:val="24"/>
          <w:szCs w:val="24"/>
        </w:rPr>
        <w:t xml:space="preserve"> L.), rosnącego w hydroponikach zanieczyszczonych żelazem</w:t>
      </w: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E708C2" w:rsidRDefault="00E10D43" w:rsidP="00430F26">
      <w:pPr>
        <w:pStyle w:val="PlainText"/>
        <w:rPr>
          <w:rFonts w:ascii="Calibri" w:hAnsi="Calibri" w:cs="Calibri"/>
          <w:b/>
        </w:rPr>
      </w:pPr>
      <w:r w:rsidRPr="00E708C2">
        <w:rPr>
          <w:rFonts w:ascii="Calibri" w:hAnsi="Calibri" w:cs="Calibri"/>
          <w:b/>
        </w:rPr>
        <w:t>KATEDRA BIOINŻYNIERII – PRACOWNIA MIKROBIOLOGII I BIOCHEMII ŚRODOWISKA</w:t>
      </w:r>
    </w:p>
    <w:p w:rsidR="00E10D43" w:rsidRPr="00E708C2" w:rsidRDefault="00E10D43" w:rsidP="00430F26">
      <w:pPr>
        <w:pStyle w:val="PlainText"/>
        <w:rPr>
          <w:rFonts w:ascii="Calibri" w:hAnsi="Calibri" w:cs="Calibri"/>
        </w:rPr>
      </w:pPr>
    </w:p>
    <w:p w:rsidR="00E10D43" w:rsidRPr="00DF1873" w:rsidRDefault="00E10D43" w:rsidP="00430F26">
      <w:pPr>
        <w:pStyle w:val="PlainText"/>
        <w:numPr>
          <w:ilvl w:val="0"/>
          <w:numId w:val="15"/>
        </w:numPr>
        <w:ind w:left="426" w:hanging="426"/>
        <w:rPr>
          <w:rFonts w:ascii="Calibri" w:hAnsi="Calibri" w:cs="Calibri"/>
        </w:rPr>
      </w:pPr>
      <w:r w:rsidRPr="00DF1873">
        <w:rPr>
          <w:rFonts w:ascii="Calibri" w:hAnsi="Calibri" w:cs="Calibri"/>
        </w:rPr>
        <w:t>Wpływ kumulacji nanosrebra w środowisku na zawartość biomasy żywych drobnoustrojów</w:t>
      </w:r>
    </w:p>
    <w:p w:rsidR="00E10D43" w:rsidRPr="00DF1873" w:rsidRDefault="00E10D43" w:rsidP="00430F26">
      <w:pPr>
        <w:pStyle w:val="PlainText"/>
        <w:numPr>
          <w:ilvl w:val="0"/>
          <w:numId w:val="15"/>
        </w:numPr>
        <w:ind w:left="426" w:hanging="426"/>
        <w:rPr>
          <w:rFonts w:ascii="Calibri" w:hAnsi="Calibri" w:cs="Calibri"/>
        </w:rPr>
      </w:pPr>
      <w:r w:rsidRPr="00DF1873">
        <w:rPr>
          <w:rFonts w:ascii="Calibri" w:hAnsi="Calibri" w:cs="Calibri"/>
        </w:rPr>
        <w:t>Wpływ działania nanosrebra na liczebność wybranych drobnoustrojów</w:t>
      </w:r>
    </w:p>
    <w:p w:rsidR="00E10D43" w:rsidRPr="00DF1873" w:rsidRDefault="00E10D43" w:rsidP="00430F26">
      <w:pPr>
        <w:pStyle w:val="PlainText"/>
        <w:numPr>
          <w:ilvl w:val="0"/>
          <w:numId w:val="15"/>
        </w:numPr>
        <w:ind w:left="426" w:hanging="426"/>
        <w:rPr>
          <w:rFonts w:ascii="Calibri" w:hAnsi="Calibri" w:cs="Calibri"/>
        </w:rPr>
      </w:pPr>
      <w:r w:rsidRPr="00DF1873">
        <w:rPr>
          <w:rFonts w:ascii="Calibri" w:hAnsi="Calibri" w:cs="Calibri"/>
        </w:rPr>
        <w:t xml:space="preserve">Badanie wybranych substancji biologicznie czynnych na hamowanie wzrostu i rozwoju drobnoustrojów  </w:t>
      </w: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E708C2">
        <w:rPr>
          <w:rFonts w:cs="Calibri"/>
          <w:b/>
          <w:sz w:val="24"/>
          <w:szCs w:val="24"/>
        </w:rPr>
        <w:t>KATEDRA GENETYKI, HODOWLI I BIOTECHNOLOGII ROŚLIN</w:t>
      </w:r>
    </w:p>
    <w:p w:rsidR="00E10D43" w:rsidRPr="00E708C2" w:rsidRDefault="00E10D43" w:rsidP="00155ED6">
      <w:pPr>
        <w:spacing w:after="0" w:line="240" w:lineRule="auto"/>
        <w:rPr>
          <w:rFonts w:cs="Calibri"/>
          <w:sz w:val="24"/>
          <w:szCs w:val="24"/>
        </w:rPr>
      </w:pPr>
    </w:p>
    <w:p w:rsidR="00E10D43" w:rsidRPr="00DF1873" w:rsidRDefault="00E10D43" w:rsidP="00DF1873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F1873">
        <w:rPr>
          <w:rFonts w:cs="Calibri"/>
          <w:sz w:val="24"/>
          <w:szCs w:val="24"/>
        </w:rPr>
        <w:t>Analiza linii wsobnych żyta w celu wykrycia markerów SCAR i oceny ekspresji genów związanych z reakcjami obronnymi roślin.</w:t>
      </w:r>
    </w:p>
    <w:p w:rsidR="00E10D43" w:rsidRPr="00DF1873" w:rsidRDefault="00E10D43" w:rsidP="00430F2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F1873">
        <w:t xml:space="preserve">Dodatek do pożywek wybranych związków pochodzenia naturalnego i ich wpływ na wzrost roślin w kulturach </w:t>
      </w:r>
      <w:r w:rsidRPr="00DF1873">
        <w:rPr>
          <w:i/>
        </w:rPr>
        <w:t>in vitro</w:t>
      </w:r>
    </w:p>
    <w:p w:rsidR="00E10D43" w:rsidRPr="00DF1873" w:rsidRDefault="00E10D43" w:rsidP="00155ED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F1873">
        <w:rPr>
          <w:rFonts w:cs="Calibri"/>
          <w:sz w:val="24"/>
          <w:szCs w:val="24"/>
        </w:rPr>
        <w:t>Genotypowanie przez sekwencjonowanie, nowoczesna metoda fingerprintingu</w:t>
      </w:r>
    </w:p>
    <w:p w:rsidR="00E10D43" w:rsidRPr="00DF1873" w:rsidRDefault="00E10D43" w:rsidP="00C335E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F1873">
        <w:rPr>
          <w:rFonts w:cs="Calibri"/>
          <w:sz w:val="24"/>
          <w:szCs w:val="24"/>
        </w:rPr>
        <w:t xml:space="preserve">Kwitnienie roślin w kulturach </w:t>
      </w:r>
      <w:r w:rsidRPr="00DF1873">
        <w:rPr>
          <w:rFonts w:cs="Calibri"/>
          <w:i/>
          <w:sz w:val="24"/>
          <w:szCs w:val="24"/>
        </w:rPr>
        <w:t>in vitro</w:t>
      </w:r>
      <w:bookmarkStart w:id="0" w:name="_GoBack"/>
      <w:bookmarkEnd w:id="0"/>
    </w:p>
    <w:p w:rsidR="00E10D43" w:rsidRPr="00DF1873" w:rsidRDefault="00E10D43" w:rsidP="00C335E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F1873">
        <w:rPr>
          <w:rFonts w:cs="Calibri"/>
          <w:sz w:val="24"/>
          <w:szCs w:val="24"/>
        </w:rPr>
        <w:t>Mikrorozmnażanie rudbekii trójklapowej (</w:t>
      </w:r>
      <w:r w:rsidRPr="00DF1873">
        <w:rPr>
          <w:rFonts w:cs="Calibri"/>
          <w:i/>
          <w:sz w:val="24"/>
          <w:szCs w:val="24"/>
        </w:rPr>
        <w:t>Rudbeckia triloba</w:t>
      </w:r>
      <w:r w:rsidRPr="00DF1873">
        <w:rPr>
          <w:rFonts w:cs="Calibri"/>
          <w:sz w:val="24"/>
          <w:szCs w:val="24"/>
        </w:rPr>
        <w:t xml:space="preserve"> L.)</w:t>
      </w:r>
    </w:p>
    <w:p w:rsidR="00E10D43" w:rsidRPr="00DF1873" w:rsidRDefault="00E10D43" w:rsidP="00C335E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F1873">
        <w:rPr>
          <w:rFonts w:cs="Calibri"/>
          <w:sz w:val="24"/>
          <w:szCs w:val="24"/>
        </w:rPr>
        <w:t>Poszukiwanie markerów molekularnych dla genów żyta odpowiedzialnych za tworzenie nalotu woskowego</w:t>
      </w:r>
    </w:p>
    <w:p w:rsidR="00E10D43" w:rsidRPr="00DF1873" w:rsidRDefault="00E10D43" w:rsidP="00C335E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F1873">
        <w:rPr>
          <w:rFonts w:cs="Calibri"/>
          <w:sz w:val="24"/>
          <w:szCs w:val="24"/>
        </w:rPr>
        <w:t>Porównanie trzech rodzajów podłoży do namnażania wybranych roślin sadowniczych</w:t>
      </w:r>
    </w:p>
    <w:p w:rsidR="00E10D43" w:rsidRPr="00DF1873" w:rsidRDefault="00E10D43" w:rsidP="00155ED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F1873">
        <w:rPr>
          <w:rFonts w:cs="Calibri"/>
          <w:sz w:val="24"/>
          <w:szCs w:val="24"/>
        </w:rPr>
        <w:t>Poszukiwanie markerów PCR dla genów odporności na suszę u żyta</w:t>
      </w:r>
    </w:p>
    <w:p w:rsidR="00E10D43" w:rsidRPr="00DF1873" w:rsidRDefault="00E10D43" w:rsidP="00C335E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F1873">
        <w:rPr>
          <w:rFonts w:cs="Calibri"/>
          <w:sz w:val="24"/>
          <w:szCs w:val="24"/>
        </w:rPr>
        <w:t>Wpływ nanometali na namnażanie się pysznogłówki cytrynowej (</w:t>
      </w:r>
      <w:r w:rsidRPr="00DF1873">
        <w:rPr>
          <w:rFonts w:cs="Calibri"/>
          <w:i/>
          <w:sz w:val="24"/>
          <w:szCs w:val="24"/>
        </w:rPr>
        <w:t>Monarda citriodora</w:t>
      </w:r>
      <w:r w:rsidRPr="00DF1873">
        <w:rPr>
          <w:rFonts w:cs="Calibri"/>
          <w:sz w:val="24"/>
          <w:szCs w:val="24"/>
        </w:rPr>
        <w:t xml:space="preserve"> var. </w:t>
      </w:r>
      <w:r w:rsidRPr="00DF1873">
        <w:rPr>
          <w:rFonts w:cs="Calibri"/>
          <w:i/>
          <w:sz w:val="24"/>
          <w:szCs w:val="24"/>
        </w:rPr>
        <w:t>citriodora</w:t>
      </w:r>
      <w:r w:rsidRPr="00DF1873">
        <w:rPr>
          <w:rFonts w:cs="Calibri"/>
          <w:sz w:val="24"/>
          <w:szCs w:val="24"/>
        </w:rPr>
        <w:t xml:space="preserve">) w kulturach </w:t>
      </w:r>
      <w:r w:rsidRPr="00DF1873">
        <w:rPr>
          <w:rFonts w:cs="Calibri"/>
          <w:i/>
          <w:sz w:val="24"/>
          <w:szCs w:val="24"/>
        </w:rPr>
        <w:t>in vitro</w:t>
      </w:r>
    </w:p>
    <w:p w:rsidR="00E10D43" w:rsidRPr="00DF1873" w:rsidRDefault="00E10D43" w:rsidP="00C335E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F1873">
        <w:rPr>
          <w:rFonts w:cs="Calibri"/>
          <w:sz w:val="24"/>
          <w:szCs w:val="24"/>
        </w:rPr>
        <w:t xml:space="preserve">Wpływ stresu suszy na morfologię systemu korzeniowego żyta w kulturach dojrzałych zarodków </w:t>
      </w:r>
      <w:r w:rsidRPr="00DF1873">
        <w:rPr>
          <w:rFonts w:cs="Calibri"/>
          <w:i/>
          <w:sz w:val="24"/>
          <w:szCs w:val="24"/>
        </w:rPr>
        <w:t>in vitro</w:t>
      </w:r>
    </w:p>
    <w:p w:rsidR="00E10D43" w:rsidRPr="00DF1873" w:rsidRDefault="00E10D43" w:rsidP="00155ED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F1873">
        <w:rPr>
          <w:rFonts w:cs="Calibri"/>
          <w:sz w:val="24"/>
          <w:szCs w:val="24"/>
        </w:rPr>
        <w:t>Wykorzystanie metody PCR do oceny zróżnicowania genetycznego w odmianach uprawnych żyta</w:t>
      </w:r>
    </w:p>
    <w:p w:rsidR="00E10D43" w:rsidRPr="00DF1873" w:rsidRDefault="00E10D43" w:rsidP="00DF1873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F1873">
        <w:rPr>
          <w:rFonts w:cs="Calibri"/>
          <w:sz w:val="24"/>
          <w:szCs w:val="24"/>
        </w:rPr>
        <w:t>Wykrywanie markerów SCAR i analiza ekspresji genów zaangażowanych w proces fotosyntezy żyta.</w:t>
      </w:r>
    </w:p>
    <w:p w:rsidR="00E10D43" w:rsidRPr="00DF1873" w:rsidRDefault="00E10D43" w:rsidP="00155ED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F1873">
        <w:rPr>
          <w:rFonts w:cs="Calibri"/>
          <w:sz w:val="24"/>
          <w:szCs w:val="24"/>
        </w:rPr>
        <w:t xml:space="preserve">Wysokoprzepustowe sekwencjonowanie nowej generacji, teoria i praktyka </w:t>
      </w: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:rsidR="00E10D43" w:rsidRPr="00E708C2" w:rsidRDefault="00E10D43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E708C2">
        <w:rPr>
          <w:rFonts w:cs="Calibri"/>
          <w:b/>
          <w:sz w:val="24"/>
          <w:szCs w:val="24"/>
        </w:rPr>
        <w:t>CENTRUM BIOIMMOBILIZACJI I INNOWACYJNYCH MATERIAŁÓW OPAKOWANIOWYCH</w:t>
      </w:r>
    </w:p>
    <w:p w:rsidR="00E10D43" w:rsidRPr="00E708C2" w:rsidRDefault="00E10D43" w:rsidP="00155ED6">
      <w:pPr>
        <w:spacing w:after="0" w:line="240" w:lineRule="auto"/>
        <w:rPr>
          <w:rFonts w:cs="Calibri"/>
          <w:sz w:val="24"/>
          <w:szCs w:val="24"/>
          <w:u w:val="single"/>
        </w:rPr>
      </w:pPr>
    </w:p>
    <w:p w:rsidR="00E10D43" w:rsidRPr="00E708C2" w:rsidRDefault="00E10D43" w:rsidP="00155ED6">
      <w:pPr>
        <w:numPr>
          <w:ilvl w:val="0"/>
          <w:numId w:val="11"/>
        </w:numPr>
        <w:spacing w:after="0" w:line="240" w:lineRule="auto"/>
        <w:ind w:left="426" w:hanging="426"/>
        <w:rPr>
          <w:rFonts w:cs="Calibri"/>
          <w:sz w:val="24"/>
          <w:szCs w:val="24"/>
          <w:u w:val="single"/>
        </w:rPr>
      </w:pPr>
      <w:r w:rsidRPr="00E708C2">
        <w:rPr>
          <w:rFonts w:cs="Calibri"/>
          <w:sz w:val="24"/>
          <w:szCs w:val="24"/>
        </w:rPr>
        <w:t>Druk 3D hydrożeli zawierających żywe komórki</w:t>
      </w:r>
    </w:p>
    <w:sectPr w:rsidR="00E10D43" w:rsidRPr="00E708C2" w:rsidSect="0071782B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43" w:rsidRDefault="00E10D43">
      <w:r>
        <w:separator/>
      </w:r>
    </w:p>
  </w:endnote>
  <w:endnote w:type="continuationSeparator" w:id="0">
    <w:p w:rsidR="00E10D43" w:rsidRDefault="00E1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43" w:rsidRDefault="00E10D43" w:rsidP="003C08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10D43" w:rsidRDefault="00E10D43" w:rsidP="00460A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43" w:rsidRDefault="00E10D43" w:rsidP="003C08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10D43" w:rsidRDefault="00E10D43" w:rsidP="00460A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43" w:rsidRDefault="00E10D43">
      <w:r>
        <w:separator/>
      </w:r>
    </w:p>
  </w:footnote>
  <w:footnote w:type="continuationSeparator" w:id="0">
    <w:p w:rsidR="00E10D43" w:rsidRDefault="00E10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E58"/>
    <w:multiLevelType w:val="multilevel"/>
    <w:tmpl w:val="8C3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B2B41"/>
    <w:multiLevelType w:val="hybridMultilevel"/>
    <w:tmpl w:val="B1023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5F75D5"/>
    <w:multiLevelType w:val="hybridMultilevel"/>
    <w:tmpl w:val="032ACC1C"/>
    <w:lvl w:ilvl="0" w:tplc="95C42C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7C6860"/>
    <w:multiLevelType w:val="hybridMultilevel"/>
    <w:tmpl w:val="D6E46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D3748D"/>
    <w:multiLevelType w:val="hybridMultilevel"/>
    <w:tmpl w:val="3D704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D6048B"/>
    <w:multiLevelType w:val="hybridMultilevel"/>
    <w:tmpl w:val="F9223226"/>
    <w:lvl w:ilvl="0" w:tplc="15DC0B4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330A4E26"/>
    <w:multiLevelType w:val="hybridMultilevel"/>
    <w:tmpl w:val="8D404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B20BB"/>
    <w:multiLevelType w:val="hybridMultilevel"/>
    <w:tmpl w:val="CAD03886"/>
    <w:lvl w:ilvl="0" w:tplc="0F1AC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4442100"/>
    <w:multiLevelType w:val="hybridMultilevel"/>
    <w:tmpl w:val="E31671EA"/>
    <w:lvl w:ilvl="0" w:tplc="8980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7F37F7"/>
    <w:multiLevelType w:val="hybridMultilevel"/>
    <w:tmpl w:val="27B47654"/>
    <w:lvl w:ilvl="0" w:tplc="368875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221940"/>
    <w:multiLevelType w:val="hybridMultilevel"/>
    <w:tmpl w:val="26420BE6"/>
    <w:lvl w:ilvl="0" w:tplc="EAEE2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291291"/>
    <w:multiLevelType w:val="hybridMultilevel"/>
    <w:tmpl w:val="589CF030"/>
    <w:lvl w:ilvl="0" w:tplc="FCFE2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CE76B5"/>
    <w:multiLevelType w:val="hybridMultilevel"/>
    <w:tmpl w:val="B1023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961A15"/>
    <w:multiLevelType w:val="hybridMultilevel"/>
    <w:tmpl w:val="92F8B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093905"/>
    <w:multiLevelType w:val="hybridMultilevel"/>
    <w:tmpl w:val="006C8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ED4157"/>
    <w:multiLevelType w:val="hybridMultilevel"/>
    <w:tmpl w:val="B16C12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0"/>
  </w:num>
  <w:num w:numId="17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325"/>
    <w:rsid w:val="000054F7"/>
    <w:rsid w:val="00013A77"/>
    <w:rsid w:val="00020C54"/>
    <w:rsid w:val="00021574"/>
    <w:rsid w:val="00026565"/>
    <w:rsid w:val="0003207A"/>
    <w:rsid w:val="000357FD"/>
    <w:rsid w:val="00060C68"/>
    <w:rsid w:val="000661A7"/>
    <w:rsid w:val="0008499A"/>
    <w:rsid w:val="0008697B"/>
    <w:rsid w:val="00087B14"/>
    <w:rsid w:val="0009162A"/>
    <w:rsid w:val="000A34FE"/>
    <w:rsid w:val="000A7485"/>
    <w:rsid w:val="000E2447"/>
    <w:rsid w:val="000E6436"/>
    <w:rsid w:val="00101CAC"/>
    <w:rsid w:val="00105567"/>
    <w:rsid w:val="00126E43"/>
    <w:rsid w:val="00132B97"/>
    <w:rsid w:val="00136963"/>
    <w:rsid w:val="001464A2"/>
    <w:rsid w:val="00155ED6"/>
    <w:rsid w:val="00164B36"/>
    <w:rsid w:val="001718CE"/>
    <w:rsid w:val="0017594E"/>
    <w:rsid w:val="00181BA7"/>
    <w:rsid w:val="00183196"/>
    <w:rsid w:val="001A255B"/>
    <w:rsid w:val="001A3CA5"/>
    <w:rsid w:val="001B014F"/>
    <w:rsid w:val="001C12A7"/>
    <w:rsid w:val="001C7744"/>
    <w:rsid w:val="001D2FC0"/>
    <w:rsid w:val="001E27F6"/>
    <w:rsid w:val="001F2A5B"/>
    <w:rsid w:val="001F5ADE"/>
    <w:rsid w:val="002040FD"/>
    <w:rsid w:val="00205873"/>
    <w:rsid w:val="002463FB"/>
    <w:rsid w:val="00251CF1"/>
    <w:rsid w:val="00270011"/>
    <w:rsid w:val="002959D4"/>
    <w:rsid w:val="002A70A3"/>
    <w:rsid w:val="002B3147"/>
    <w:rsid w:val="002C3196"/>
    <w:rsid w:val="002C4ECA"/>
    <w:rsid w:val="002D18C7"/>
    <w:rsid w:val="002D2AF0"/>
    <w:rsid w:val="002D3F65"/>
    <w:rsid w:val="002D6C5A"/>
    <w:rsid w:val="002E5339"/>
    <w:rsid w:val="003200C8"/>
    <w:rsid w:val="00321D84"/>
    <w:rsid w:val="00322756"/>
    <w:rsid w:val="00326961"/>
    <w:rsid w:val="003307BA"/>
    <w:rsid w:val="00353250"/>
    <w:rsid w:val="0036600B"/>
    <w:rsid w:val="00371BB0"/>
    <w:rsid w:val="00391E0E"/>
    <w:rsid w:val="00392F8A"/>
    <w:rsid w:val="003A144B"/>
    <w:rsid w:val="003B66EB"/>
    <w:rsid w:val="003C08B1"/>
    <w:rsid w:val="003E2F9D"/>
    <w:rsid w:val="003E3DF3"/>
    <w:rsid w:val="003E7B71"/>
    <w:rsid w:val="0041009F"/>
    <w:rsid w:val="00430F26"/>
    <w:rsid w:val="004369C6"/>
    <w:rsid w:val="00447EF7"/>
    <w:rsid w:val="00454B3A"/>
    <w:rsid w:val="00460A59"/>
    <w:rsid w:val="004B0925"/>
    <w:rsid w:val="004B63B5"/>
    <w:rsid w:val="004C49DE"/>
    <w:rsid w:val="004C6F62"/>
    <w:rsid w:val="004D1571"/>
    <w:rsid w:val="004D2630"/>
    <w:rsid w:val="004D6356"/>
    <w:rsid w:val="0050061C"/>
    <w:rsid w:val="00506435"/>
    <w:rsid w:val="0052249F"/>
    <w:rsid w:val="00525C64"/>
    <w:rsid w:val="00534E6B"/>
    <w:rsid w:val="00557974"/>
    <w:rsid w:val="00571862"/>
    <w:rsid w:val="0058125B"/>
    <w:rsid w:val="00581922"/>
    <w:rsid w:val="00581D1A"/>
    <w:rsid w:val="00594A8F"/>
    <w:rsid w:val="00595325"/>
    <w:rsid w:val="005B00ED"/>
    <w:rsid w:val="005B4049"/>
    <w:rsid w:val="005D01E2"/>
    <w:rsid w:val="005D2D1D"/>
    <w:rsid w:val="005F4170"/>
    <w:rsid w:val="005F63EE"/>
    <w:rsid w:val="00601A4E"/>
    <w:rsid w:val="006043F3"/>
    <w:rsid w:val="006131DA"/>
    <w:rsid w:val="006233DF"/>
    <w:rsid w:val="00642AE0"/>
    <w:rsid w:val="006558A7"/>
    <w:rsid w:val="00667D22"/>
    <w:rsid w:val="00674AC3"/>
    <w:rsid w:val="006831C4"/>
    <w:rsid w:val="00684DD1"/>
    <w:rsid w:val="006878D4"/>
    <w:rsid w:val="0069714C"/>
    <w:rsid w:val="006A0FE8"/>
    <w:rsid w:val="006A568D"/>
    <w:rsid w:val="006A64F4"/>
    <w:rsid w:val="006C1269"/>
    <w:rsid w:val="006E05B2"/>
    <w:rsid w:val="006E2FC9"/>
    <w:rsid w:val="00701215"/>
    <w:rsid w:val="00704591"/>
    <w:rsid w:val="00707FB1"/>
    <w:rsid w:val="007160D3"/>
    <w:rsid w:val="0071782B"/>
    <w:rsid w:val="00726CC6"/>
    <w:rsid w:val="00750736"/>
    <w:rsid w:val="0075410C"/>
    <w:rsid w:val="00772624"/>
    <w:rsid w:val="00780721"/>
    <w:rsid w:val="007B5DE1"/>
    <w:rsid w:val="007D2E58"/>
    <w:rsid w:val="007E0E2D"/>
    <w:rsid w:val="007E6875"/>
    <w:rsid w:val="00807728"/>
    <w:rsid w:val="00813FB5"/>
    <w:rsid w:val="00814151"/>
    <w:rsid w:val="00814ED0"/>
    <w:rsid w:val="008341E0"/>
    <w:rsid w:val="0084605E"/>
    <w:rsid w:val="0085606B"/>
    <w:rsid w:val="00883DE3"/>
    <w:rsid w:val="00884379"/>
    <w:rsid w:val="0089398C"/>
    <w:rsid w:val="008A37B7"/>
    <w:rsid w:val="008B7FA4"/>
    <w:rsid w:val="008C0F65"/>
    <w:rsid w:val="008C2DCC"/>
    <w:rsid w:val="008C4230"/>
    <w:rsid w:val="008D44F4"/>
    <w:rsid w:val="008F2A04"/>
    <w:rsid w:val="008F5066"/>
    <w:rsid w:val="00911D18"/>
    <w:rsid w:val="00935793"/>
    <w:rsid w:val="0093605F"/>
    <w:rsid w:val="0095493C"/>
    <w:rsid w:val="009613D5"/>
    <w:rsid w:val="00976475"/>
    <w:rsid w:val="00977F97"/>
    <w:rsid w:val="009802EC"/>
    <w:rsid w:val="00982621"/>
    <w:rsid w:val="009936EA"/>
    <w:rsid w:val="009B41AB"/>
    <w:rsid w:val="009B7B43"/>
    <w:rsid w:val="009B7B47"/>
    <w:rsid w:val="009C1E88"/>
    <w:rsid w:val="009E506C"/>
    <w:rsid w:val="009E660F"/>
    <w:rsid w:val="00A10D0D"/>
    <w:rsid w:val="00A20297"/>
    <w:rsid w:val="00A27770"/>
    <w:rsid w:val="00A3149F"/>
    <w:rsid w:val="00A31CE0"/>
    <w:rsid w:val="00A45065"/>
    <w:rsid w:val="00A459D9"/>
    <w:rsid w:val="00A577AF"/>
    <w:rsid w:val="00A74CCD"/>
    <w:rsid w:val="00A75879"/>
    <w:rsid w:val="00A75F6E"/>
    <w:rsid w:val="00A80401"/>
    <w:rsid w:val="00A9044A"/>
    <w:rsid w:val="00A93421"/>
    <w:rsid w:val="00A96B56"/>
    <w:rsid w:val="00AA25E1"/>
    <w:rsid w:val="00AB48C4"/>
    <w:rsid w:val="00AB6249"/>
    <w:rsid w:val="00AC10E9"/>
    <w:rsid w:val="00AC5091"/>
    <w:rsid w:val="00AE69E4"/>
    <w:rsid w:val="00AF2269"/>
    <w:rsid w:val="00AF6719"/>
    <w:rsid w:val="00B155AB"/>
    <w:rsid w:val="00B22BD5"/>
    <w:rsid w:val="00B45332"/>
    <w:rsid w:val="00B61F4F"/>
    <w:rsid w:val="00B664D7"/>
    <w:rsid w:val="00B769D1"/>
    <w:rsid w:val="00B80018"/>
    <w:rsid w:val="00B83A3C"/>
    <w:rsid w:val="00B878B2"/>
    <w:rsid w:val="00B9549F"/>
    <w:rsid w:val="00B9782A"/>
    <w:rsid w:val="00BA16D0"/>
    <w:rsid w:val="00BA464F"/>
    <w:rsid w:val="00BA52E8"/>
    <w:rsid w:val="00BC1ACB"/>
    <w:rsid w:val="00BE1E00"/>
    <w:rsid w:val="00BF7576"/>
    <w:rsid w:val="00C0210D"/>
    <w:rsid w:val="00C03392"/>
    <w:rsid w:val="00C06C86"/>
    <w:rsid w:val="00C22943"/>
    <w:rsid w:val="00C25541"/>
    <w:rsid w:val="00C31475"/>
    <w:rsid w:val="00C32819"/>
    <w:rsid w:val="00C335E0"/>
    <w:rsid w:val="00C35C49"/>
    <w:rsid w:val="00C51392"/>
    <w:rsid w:val="00C56E5F"/>
    <w:rsid w:val="00C61271"/>
    <w:rsid w:val="00C61691"/>
    <w:rsid w:val="00C61B59"/>
    <w:rsid w:val="00C8777B"/>
    <w:rsid w:val="00C97EE2"/>
    <w:rsid w:val="00CA5D48"/>
    <w:rsid w:val="00CC37D5"/>
    <w:rsid w:val="00CC7D81"/>
    <w:rsid w:val="00CE19C4"/>
    <w:rsid w:val="00CE2B87"/>
    <w:rsid w:val="00CE4D8F"/>
    <w:rsid w:val="00CE7A76"/>
    <w:rsid w:val="00CF778D"/>
    <w:rsid w:val="00D0496F"/>
    <w:rsid w:val="00D21A22"/>
    <w:rsid w:val="00D2469F"/>
    <w:rsid w:val="00D2513E"/>
    <w:rsid w:val="00D25180"/>
    <w:rsid w:val="00D2709F"/>
    <w:rsid w:val="00D27C5E"/>
    <w:rsid w:val="00D435D1"/>
    <w:rsid w:val="00D57166"/>
    <w:rsid w:val="00D660B7"/>
    <w:rsid w:val="00D719DA"/>
    <w:rsid w:val="00D745B5"/>
    <w:rsid w:val="00DA1058"/>
    <w:rsid w:val="00DA2676"/>
    <w:rsid w:val="00DA5F6E"/>
    <w:rsid w:val="00DB1633"/>
    <w:rsid w:val="00DB2051"/>
    <w:rsid w:val="00DB44CC"/>
    <w:rsid w:val="00DC71AD"/>
    <w:rsid w:val="00DD1B19"/>
    <w:rsid w:val="00DE4290"/>
    <w:rsid w:val="00DF1873"/>
    <w:rsid w:val="00DF43E9"/>
    <w:rsid w:val="00E10D43"/>
    <w:rsid w:val="00E16F9D"/>
    <w:rsid w:val="00E212FE"/>
    <w:rsid w:val="00E23F2B"/>
    <w:rsid w:val="00E24631"/>
    <w:rsid w:val="00E25115"/>
    <w:rsid w:val="00E37E61"/>
    <w:rsid w:val="00E41E3B"/>
    <w:rsid w:val="00E504EA"/>
    <w:rsid w:val="00E52783"/>
    <w:rsid w:val="00E5536F"/>
    <w:rsid w:val="00E57412"/>
    <w:rsid w:val="00E708C2"/>
    <w:rsid w:val="00E76687"/>
    <w:rsid w:val="00EA3B48"/>
    <w:rsid w:val="00EB4181"/>
    <w:rsid w:val="00EB600C"/>
    <w:rsid w:val="00EC2BA8"/>
    <w:rsid w:val="00EE1995"/>
    <w:rsid w:val="00EE589D"/>
    <w:rsid w:val="00F0102F"/>
    <w:rsid w:val="00F04F79"/>
    <w:rsid w:val="00F22A40"/>
    <w:rsid w:val="00F239D4"/>
    <w:rsid w:val="00F27302"/>
    <w:rsid w:val="00F31B90"/>
    <w:rsid w:val="00F36453"/>
    <w:rsid w:val="00F3722F"/>
    <w:rsid w:val="00F62B3A"/>
    <w:rsid w:val="00F759A4"/>
    <w:rsid w:val="00F81A71"/>
    <w:rsid w:val="00F921DA"/>
    <w:rsid w:val="00F93ED9"/>
    <w:rsid w:val="00FC3166"/>
    <w:rsid w:val="00FC4364"/>
    <w:rsid w:val="00FC7694"/>
    <w:rsid w:val="00FE04DA"/>
    <w:rsid w:val="00FE0C40"/>
    <w:rsid w:val="00FE248F"/>
    <w:rsid w:val="00FE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2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0A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rsid w:val="00460A5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5410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5410C"/>
    <w:rPr>
      <w:rFonts w:eastAsia="Times New Roman" w:cs="Times New Roman"/>
      <w:sz w:val="24"/>
      <w:lang w:eastAsia="en-US"/>
    </w:rPr>
  </w:style>
  <w:style w:type="paragraph" w:customStyle="1" w:styleId="Standard">
    <w:name w:val="Standard"/>
    <w:uiPriority w:val="99"/>
    <w:rsid w:val="009802E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">
    <w:name w:val="st"/>
    <w:uiPriority w:val="99"/>
    <w:rsid w:val="008C0F65"/>
  </w:style>
  <w:style w:type="paragraph" w:styleId="ListParagraph">
    <w:name w:val="List Paragraph"/>
    <w:basedOn w:val="Normal"/>
    <w:uiPriority w:val="99"/>
    <w:qFormat/>
    <w:rsid w:val="00B1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1355</Words>
  <Characters>8133</Characters>
  <Application>Microsoft Office Outlook</Application>
  <DocSecurity>0</DocSecurity>
  <Lines>0</Lines>
  <Paragraphs>0</Paragraphs>
  <ScaleCrop>false</ScaleCrop>
  <Company>Zachodniopomorski Uniwersytet Technologiczny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BIOTECHNOLOGII ROZRODU ZWIERZĄT I HIGIENY ŚRODOWISKA</dc:title>
  <dc:subject/>
  <dc:creator>Prodziekan</dc:creator>
  <cp:keywords/>
  <dc:description/>
  <cp:lastModifiedBy>Prodziekan</cp:lastModifiedBy>
  <cp:revision>3</cp:revision>
  <cp:lastPrinted>2019-01-21T07:37:00Z</cp:lastPrinted>
  <dcterms:created xsi:type="dcterms:W3CDTF">2020-05-06T08:47:00Z</dcterms:created>
  <dcterms:modified xsi:type="dcterms:W3CDTF">2020-05-06T08:48:00Z</dcterms:modified>
</cp:coreProperties>
</file>